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3AA62" w14:textId="77777777" w:rsidR="00B11FCF" w:rsidRDefault="00B11FCF" w:rsidP="00C70E74">
      <w:pPr>
        <w:pStyle w:val="N02Y"/>
        <w:ind w:firstLine="0"/>
        <w:rPr>
          <w:rFonts w:ascii="Arial" w:hAnsi="Arial" w:cs="Arial"/>
          <w:color w:val="auto"/>
        </w:rPr>
      </w:pPr>
    </w:p>
    <w:p w14:paraId="242C369D" w14:textId="79C2A8E9" w:rsidR="00B11FCF" w:rsidRPr="0038695F" w:rsidRDefault="00B11FCF" w:rsidP="00B11FCF">
      <w:pPr>
        <w:pStyle w:val="N02Y"/>
        <w:ind w:firstLine="17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</w:t>
      </w:r>
      <w:r w:rsidRPr="0038695F">
        <w:rPr>
          <w:rFonts w:ascii="Arial" w:hAnsi="Arial" w:cs="Arial"/>
          <w:color w:val="auto"/>
        </w:rPr>
        <w:t>Na osnovu člana 38 tačka 2 i člana 198</w:t>
      </w:r>
      <w:r w:rsidRPr="0038695F">
        <w:rPr>
          <w:rFonts w:ascii="Arial" w:hAnsi="Arial" w:cs="Arial"/>
        </w:rPr>
        <w:t xml:space="preserve"> </w:t>
      </w:r>
      <w:r w:rsidRPr="0038695F">
        <w:rPr>
          <w:rFonts w:ascii="Arial" w:hAnsi="Arial" w:cs="Arial"/>
          <w:color w:val="auto"/>
        </w:rPr>
        <w:t>stav</w:t>
      </w:r>
      <w:r w:rsidRPr="0038695F">
        <w:rPr>
          <w:rFonts w:ascii="Arial" w:hAnsi="Arial" w:cs="Arial"/>
          <w:color w:val="FF0000"/>
        </w:rPr>
        <w:t xml:space="preserve"> </w:t>
      </w:r>
      <w:r w:rsidRPr="0038695F">
        <w:rPr>
          <w:rFonts w:ascii="Arial" w:hAnsi="Arial" w:cs="Arial"/>
          <w:color w:val="auto"/>
        </w:rPr>
        <w:t>5</w:t>
      </w:r>
      <w:r w:rsidRPr="0038695F">
        <w:rPr>
          <w:rFonts w:ascii="Arial" w:hAnsi="Arial" w:cs="Arial"/>
        </w:rPr>
        <w:t xml:space="preserve"> </w:t>
      </w:r>
      <w:r w:rsidRPr="0038695F">
        <w:rPr>
          <w:rFonts w:ascii="Arial" w:hAnsi="Arial" w:cs="Arial"/>
          <w:color w:val="auto"/>
        </w:rPr>
        <w:t>Zakona o lokalnoj</w:t>
      </w:r>
      <w:r w:rsidRPr="0038695F">
        <w:rPr>
          <w:rFonts w:ascii="Arial" w:hAnsi="Arial" w:cs="Arial"/>
        </w:rPr>
        <w:t xml:space="preserve"> </w:t>
      </w:r>
      <w:r w:rsidRPr="0038695F">
        <w:rPr>
          <w:rFonts w:ascii="Arial" w:hAnsi="Arial" w:cs="Arial"/>
          <w:color w:val="auto"/>
        </w:rPr>
        <w:t>samoupravi ("Sl. list C</w:t>
      </w:r>
      <w:r w:rsidR="00C70E74">
        <w:rPr>
          <w:rFonts w:ascii="Arial" w:hAnsi="Arial" w:cs="Arial"/>
          <w:color w:val="auto"/>
        </w:rPr>
        <w:t xml:space="preserve">rne  </w:t>
      </w:r>
      <w:r w:rsidRPr="0038695F">
        <w:rPr>
          <w:rFonts w:ascii="Arial" w:hAnsi="Arial" w:cs="Arial"/>
          <w:color w:val="auto"/>
        </w:rPr>
        <w:t>G</w:t>
      </w:r>
      <w:r w:rsidR="00C70E74">
        <w:rPr>
          <w:rFonts w:ascii="Arial" w:hAnsi="Arial" w:cs="Arial"/>
          <w:color w:val="auto"/>
        </w:rPr>
        <w:t>ore</w:t>
      </w:r>
      <w:r w:rsidRPr="0038695F">
        <w:rPr>
          <w:rFonts w:ascii="Arial" w:hAnsi="Arial" w:cs="Arial"/>
          <w:color w:val="auto"/>
        </w:rPr>
        <w:t>" br. 02/18, 34/19, 38/20, 50/22, 84/22, 81/25 i 98/25)</w:t>
      </w:r>
      <w:r w:rsidRPr="0038695F">
        <w:rPr>
          <w:rFonts w:ascii="Arial" w:hAnsi="Arial" w:cs="Arial"/>
        </w:rPr>
        <w:t xml:space="preserve"> </w:t>
      </w:r>
      <w:r w:rsidRPr="0038695F">
        <w:rPr>
          <w:rFonts w:ascii="Arial" w:hAnsi="Arial" w:cs="Arial"/>
          <w:color w:val="auto"/>
        </w:rPr>
        <w:t>i člana 46 stav 1 tačka 2</w:t>
      </w:r>
      <w:r>
        <w:rPr>
          <w:rFonts w:ascii="Arial" w:hAnsi="Arial" w:cs="Arial"/>
          <w:color w:val="auto"/>
        </w:rPr>
        <w:t xml:space="preserve"> a</w:t>
      </w:r>
      <w:r w:rsidRPr="0038695F">
        <w:rPr>
          <w:rFonts w:ascii="Arial" w:hAnsi="Arial" w:cs="Arial"/>
          <w:color w:val="auto"/>
        </w:rPr>
        <w:t xml:space="preserve"> u vezi sa članom 162 Statuta Opštine Bijelo Polje (“Sl. list</w:t>
      </w:r>
      <w:r>
        <w:rPr>
          <w:rFonts w:ascii="Arial" w:hAnsi="Arial" w:cs="Arial"/>
          <w:color w:val="auto"/>
        </w:rPr>
        <w:t xml:space="preserve"> C</w:t>
      </w:r>
      <w:r w:rsidR="00C70E74">
        <w:rPr>
          <w:rFonts w:ascii="Arial" w:hAnsi="Arial" w:cs="Arial"/>
          <w:color w:val="auto"/>
        </w:rPr>
        <w:t xml:space="preserve">rne </w:t>
      </w:r>
      <w:r>
        <w:rPr>
          <w:rFonts w:ascii="Arial" w:hAnsi="Arial" w:cs="Arial"/>
          <w:color w:val="auto"/>
        </w:rPr>
        <w:t>G</w:t>
      </w:r>
      <w:r w:rsidR="00C70E74">
        <w:rPr>
          <w:rFonts w:ascii="Arial" w:hAnsi="Arial" w:cs="Arial"/>
          <w:color w:val="auto"/>
        </w:rPr>
        <w:t>ore</w:t>
      </w:r>
      <w:r w:rsidRPr="0038695F">
        <w:rPr>
          <w:rFonts w:ascii="Arial" w:hAnsi="Arial" w:cs="Arial"/>
          <w:color w:val="auto"/>
        </w:rPr>
        <w:t xml:space="preserve">” - Opštinski propisi br. 19/18) Skupština </w:t>
      </w:r>
      <w:r w:rsidR="00C70E74">
        <w:rPr>
          <w:rFonts w:ascii="Arial" w:hAnsi="Arial" w:cs="Arial"/>
          <w:color w:val="auto"/>
        </w:rPr>
        <w:t>o</w:t>
      </w:r>
      <w:r w:rsidRPr="0038695F">
        <w:rPr>
          <w:rFonts w:ascii="Arial" w:hAnsi="Arial" w:cs="Arial"/>
          <w:color w:val="auto"/>
        </w:rPr>
        <w:t>pštine Bijelo Polje,</w:t>
      </w:r>
      <w:r w:rsidRPr="0038695F">
        <w:rPr>
          <w:rFonts w:ascii="Arial" w:hAnsi="Arial" w:cs="Arial"/>
          <w:color w:val="FF0000"/>
        </w:rPr>
        <w:t xml:space="preserve"> </w:t>
      </w:r>
      <w:r w:rsidRPr="0038695F">
        <w:rPr>
          <w:rFonts w:ascii="Arial" w:hAnsi="Arial" w:cs="Arial"/>
          <w:color w:val="auto"/>
        </w:rPr>
        <w:t>na sjednici održanoj</w:t>
      </w:r>
      <w:r w:rsidRPr="0038695F">
        <w:rPr>
          <w:rFonts w:ascii="Arial" w:hAnsi="Arial" w:cs="Arial"/>
          <w:color w:val="FF0000"/>
        </w:rPr>
        <w:t xml:space="preserve"> </w:t>
      </w:r>
      <w:r w:rsidRPr="0038695F">
        <w:rPr>
          <w:rFonts w:ascii="Arial" w:hAnsi="Arial" w:cs="Arial"/>
          <w:color w:val="auto"/>
        </w:rPr>
        <w:t xml:space="preserve">dana </w:t>
      </w:r>
      <w:r w:rsidR="00C70E74">
        <w:rPr>
          <w:rFonts w:ascii="Arial" w:hAnsi="Arial" w:cs="Arial"/>
          <w:color w:val="auto"/>
        </w:rPr>
        <w:t>24.3.2026. godine</w:t>
      </w:r>
      <w:r w:rsidRPr="0038695F">
        <w:rPr>
          <w:rFonts w:ascii="Arial" w:hAnsi="Arial" w:cs="Arial"/>
          <w:color w:val="auto"/>
        </w:rPr>
        <w:t>, donijela je</w:t>
      </w:r>
    </w:p>
    <w:p w14:paraId="4F37E3AD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</w:p>
    <w:p w14:paraId="2E2637FE" w14:textId="77777777" w:rsidR="00B11FCF" w:rsidRPr="0038695F" w:rsidRDefault="00B11FCF" w:rsidP="00B11FCF">
      <w:pPr>
        <w:pStyle w:val="N02Y"/>
        <w:spacing w:before="0" w:after="0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ODLUKU</w:t>
      </w:r>
    </w:p>
    <w:p w14:paraId="0B3EE471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O OSNIVANJU SAVJETA ZA RAZVOJ I ZAŠTITU LOKALNE SAMOUPRAVE</w:t>
      </w:r>
    </w:p>
    <w:p w14:paraId="06CE7C60" w14:textId="77777777" w:rsidR="00B11FCF" w:rsidRPr="0038695F" w:rsidRDefault="00B11FCF" w:rsidP="00B11FCF">
      <w:pPr>
        <w:pStyle w:val="N02Y"/>
        <w:ind w:firstLine="170"/>
        <w:rPr>
          <w:rFonts w:ascii="Arial" w:hAnsi="Arial" w:cs="Arial"/>
          <w:b/>
          <w:bCs/>
          <w:color w:val="auto"/>
        </w:rPr>
      </w:pPr>
    </w:p>
    <w:p w14:paraId="3A8620A1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I OSNOVNE ODREDBE</w:t>
      </w:r>
    </w:p>
    <w:p w14:paraId="469E8B57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</w:p>
    <w:p w14:paraId="4B54740D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>Član 1</w:t>
      </w:r>
    </w:p>
    <w:p w14:paraId="01F502B3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  <w:t xml:space="preserve"> </w:t>
      </w:r>
      <w:bookmarkStart w:id="0" w:name="_Hlk217292858"/>
      <w:r>
        <w:rPr>
          <w:rFonts w:ascii="Arial" w:hAnsi="Arial" w:cs="Arial"/>
        </w:rPr>
        <w:t>Ovom O</w:t>
      </w:r>
      <w:r w:rsidRPr="0038695F">
        <w:rPr>
          <w:rFonts w:ascii="Arial" w:hAnsi="Arial" w:cs="Arial"/>
        </w:rPr>
        <w:t>dlukom osniva se Savjet za razvoj i zaštitu lokalne samouprave Opštine Bijelo Polje (u daljem tekstu: Savjet), utvrđuju njegova prava i dužnosti, sastav, način izbora i rada i druga pitanja od značaja za njegovo funkcionisanje.</w:t>
      </w:r>
    </w:p>
    <w:bookmarkEnd w:id="0"/>
    <w:p w14:paraId="2F7536B0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3EBFD77B" w14:textId="77777777" w:rsidR="00B11FCF" w:rsidRPr="0038695F" w:rsidRDefault="00B11FCF" w:rsidP="00B11FCF">
      <w:pPr>
        <w:pStyle w:val="C30X"/>
        <w:spacing w:before="0"/>
        <w:ind w:firstLine="170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>Član 2</w:t>
      </w:r>
    </w:p>
    <w:p w14:paraId="60BA567C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Izrazi koji se u ovoj odluci koriste za fizička lica u muškom rodu podrazumijevaju iste izraze za fizička lica u ženskom rodu. </w:t>
      </w:r>
    </w:p>
    <w:p w14:paraId="6794B3DA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4EC4A61C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3</w:t>
      </w:r>
    </w:p>
    <w:p w14:paraId="692559E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je samostalan i nezavisan u vršenju svoje funkcije.</w:t>
      </w:r>
    </w:p>
    <w:p w14:paraId="40930657" w14:textId="3BD6DB0F" w:rsidR="00B11FCF" w:rsidRPr="0038695F" w:rsidRDefault="00B11FCF" w:rsidP="00C70E74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ili član savjeta ne mogu biti pozvani na odgovornost niti biti kažnjeni za zauzeti stav ili radnju preduzetu u vršenju svoje funkcije.</w:t>
      </w:r>
    </w:p>
    <w:p w14:paraId="63670574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>Član 4</w:t>
      </w:r>
    </w:p>
    <w:p w14:paraId="024928C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Rad Savjeta je javan.</w:t>
      </w:r>
    </w:p>
    <w:p w14:paraId="4BAE3AE0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>Član 5</w:t>
      </w:r>
    </w:p>
    <w:p w14:paraId="76158262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Sredstva za rad Savjeta obezbjeđuju se u Budžetu opštine.</w:t>
      </w:r>
    </w:p>
    <w:p w14:paraId="3237E6B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Naknada za rad članova Savjeta utvrđuje se posebnom odlukom Skupštine opštine. </w:t>
      </w:r>
    </w:p>
    <w:p w14:paraId="259B7AF6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58C8FFD7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>Član 6</w:t>
      </w:r>
    </w:p>
    <w:p w14:paraId="320BB81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ima pečat.</w:t>
      </w:r>
    </w:p>
    <w:p w14:paraId="06A2342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Pečat Savjeta je okruglog oblika, prečnika 32 mm, i sadrži:</w:t>
      </w:r>
    </w:p>
    <w:p w14:paraId="17B7A84B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>- po obodu tekst Opština Bijelo Polje Savjet za razvoj i zaštitu lokalne samouprave:</w:t>
      </w:r>
    </w:p>
    <w:p w14:paraId="7BBFFCD7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>- u sredini grb Opštine Bijelo Polje.</w:t>
      </w:r>
    </w:p>
    <w:p w14:paraId="0F53BBC5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1A572B31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II PRAVA I DUŽNOSTI SAVJETA</w:t>
      </w:r>
    </w:p>
    <w:p w14:paraId="1D20BA3D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0B957BEC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7</w:t>
      </w:r>
    </w:p>
    <w:p w14:paraId="00BFC456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preduzima mjere za unaprjeđenje, razvoj i zaštitu lokalne samouprave, razvoj kvaliteta javnih usluga i zaštitu sloboda i prava građana.</w:t>
      </w:r>
    </w:p>
    <w:p w14:paraId="57DBC22D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24B51543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8</w:t>
      </w:r>
    </w:p>
    <w:p w14:paraId="51FD7345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ima pravo da organima lokalne uprave i javnim službama podnosi predloge i inicijative radi zaštite prava i interesa lokalnog stanovništva, unaprjeđenja efikasnosti i kvaliteta njihovog rada, obezbjeđenja informisanja i blagovremenog postupanja po zahtjevima građana, kao i radi poboljšanja kvaliteta pruženih usluga.</w:t>
      </w:r>
    </w:p>
    <w:p w14:paraId="033C064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može tim organima dostavljati predloge i mjere u cilju rješavanja problema u pojedinim oblastima i otklanjanja štetnih posljedica koje su nastale ili mogu nastati aktima, radnjama ili propuštanjem organa i službi.</w:t>
      </w:r>
    </w:p>
    <w:p w14:paraId="30CA382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O svim podnijetim inicijativama i predlozima iz ovog člana Savjet je dužan obavijestiti Skupštinu i predsjednika Opštine.</w:t>
      </w:r>
    </w:p>
    <w:p w14:paraId="58D7E50A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9</w:t>
      </w:r>
    </w:p>
    <w:p w14:paraId="6D7A911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ima pravo da državnim organima, organima lokalne samouprave i javnim službama, kao i Skupštini opštine i predsjedniku Opštine, podnosi predloge radi unaprjeđenja, razvoja i zaštite lokalne samouprave, podizanja nivoa kvaliteta javnih usluga, te zaštite Ustavom i zakonom utvrđenih prava i dužnosti lokalne samouprave i sloboda i prava lokalnog stanovništva.</w:t>
      </w:r>
    </w:p>
    <w:p w14:paraId="121C0A4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može Skupštini opštine i predsjedniku Opštine podnijeti predloge za donošenje ili izmjenu i dopunu odluka i drugih propisa kojima se utvrđuju prava i obaveze građana, kao i predloge za preduzimanje mjera radi efikasnijeg ostvarivanja prava građana i unaprjeđenja stanja u oblastima iz nadležnosti organa lokalne uprave i javnih službi.</w:t>
      </w:r>
    </w:p>
    <w:p w14:paraId="58C2016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može Skupštini opštine podnijeti predloge radi podizanja nivoa kvaliteta u pružanju javnih usluga, efikasnijeg i racionalnijeg vršenja poslova javnih službi čiji je osnivač Opština, kao i predloge radi obezbjeđivanja javnosti i transparentnosti rada Skupštine, predsjednika Opštine, organa lokalne uprave i javnih službi.</w:t>
      </w:r>
    </w:p>
    <w:p w14:paraId="25BCC98D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568CE6BC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10</w:t>
      </w:r>
    </w:p>
    <w:p w14:paraId="767CA332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Ako se zakonom ili drugim opštim aktom narušava pravo na lokalnu samoupravu ili slobode i prava lokalnog stanovništva, Savjet može pokrenuti inicijativu pred Ustavnim sudom Crne Gore radi pokretanja postupka ocjene ustavnosti i zakonitosti zakona ili drugog opšteg akta.</w:t>
      </w:r>
    </w:p>
    <w:p w14:paraId="268D9A65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2168D774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11</w:t>
      </w:r>
    </w:p>
    <w:p w14:paraId="4E1E50E9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Savjet ima pravo da traži mišljenje od nadležnih državnih organa i javnih službi čiji je osnivač Crna Gora, u vezi sa primjenom zakona koji su od neposrednog uticaja na razvoj i ostvarivanje lokalne samouprave, ili na zakonitost i efikasnost postupanja u radu tih organa i javnih službi.  </w:t>
      </w:r>
    </w:p>
    <w:p w14:paraId="7C12D754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79DBA5CD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12</w:t>
      </w:r>
    </w:p>
    <w:p w14:paraId="7A74A613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Organi lokalne samouprave dužni su da Savjetu omoguće da se izjasni o nacrtima i predlozima Statuta, odluka i drugih opštih akata od značaja za ostvarivanje prava i sloboda lokalnog stanovništva, kao i o nacrtima programa razvoja i planova pojedinih djelatnosti.</w:t>
      </w:r>
    </w:p>
    <w:p w14:paraId="681429CD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ima pravo da prisustvuje sjednicama Skupštine i njenih radnih tijela i učestvuje u raspravi kada se razmatraju pitanja od značaja za rad organa lokalne samouprave, organa lokalne uprave, javnih službi i ostvarivanje prava i obaveza građana.</w:t>
      </w:r>
    </w:p>
    <w:p w14:paraId="689483E6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2494F402" w14:textId="77777777" w:rsidR="00B11FC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0161C852" w14:textId="77777777" w:rsidR="00B11FC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1F4EB23B" w14:textId="77777777" w:rsidR="00B11FC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29183D01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13</w:t>
      </w:r>
    </w:p>
    <w:p w14:paraId="21E91DDA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ima pravo da organima državne uprave i organima lokalne uprave podnosi predloge i inicijative radi zaštite prava i interesa lokalnog stanovništva, unaprjeđenja efikasnosti i kvaliteta rada, obezbjeđenja informisanja i blagovremenog postupanja po zahtjevima građana, kao i radi poboljšanja kvaliteta pruženih usluga.</w:t>
      </w:r>
    </w:p>
    <w:p w14:paraId="072B0529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Savjet može nadležnim organima dostavljati predloge i mjere u cilju rješavanja problema u pojedinim oblastima i otklanjanja štetnih posljedica koje su nastale ili mogu nastati aktima, radnjama ili propuštanjem organa i službi. </w:t>
      </w:r>
    </w:p>
    <w:p w14:paraId="1871A045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Ako se aktima organa državne uprave, organa lokalne samouprave, organa lokalne uprave ili javnih službi narušavaju prava i dužnosti Opštine ili slobode i prava građana, Savjet je dužan da tim organima uputi predlog radi zaštite tih prava.</w:t>
      </w:r>
    </w:p>
    <w:p w14:paraId="5A1E32E5" w14:textId="77777777" w:rsidR="00B11FC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razmatra pitanja od značaja za funkcionisanje organa lokalne samouprave, organa lokalne uprave i javnih službi i obraća im se kada ne ostvaruju svoje utvrđene funkcije ili povređuju prava lokalnog stanovništva, o čemu je dužan obavijestiti Skupštinu i predsjednika Opštine.</w:t>
      </w:r>
    </w:p>
    <w:p w14:paraId="539369B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</w:p>
    <w:p w14:paraId="594CB1C8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>Član 14</w:t>
      </w:r>
    </w:p>
    <w:p w14:paraId="6E4D26F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podnosi Skupštini izvještaj o svom radu najkasnije do k</w:t>
      </w:r>
      <w:r>
        <w:rPr>
          <w:rFonts w:ascii="Arial" w:hAnsi="Arial" w:cs="Arial"/>
        </w:rPr>
        <w:t>raja marta tekuće godine za pret</w:t>
      </w:r>
      <w:r w:rsidRPr="0038695F">
        <w:rPr>
          <w:rFonts w:ascii="Arial" w:hAnsi="Arial" w:cs="Arial"/>
        </w:rPr>
        <w:t>hodnu godinu.</w:t>
      </w:r>
    </w:p>
    <w:p w14:paraId="20DD8FE1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Izvještaj iz stava 1 ovog člana sadrži: broj i vrstu podnijetih predloga i inicijativa, način postupanja nadležnih organa i službi, ocjenu rada državnih i lokalnih organa i službi sa aspekta preduzimanja mjera za unapređenje lokalne samouprave i zakonitosti i efikasnosti ostvarivanja prava i obaveza građana i kvaliteta javnih usluga, uočene nepravilnosti, predlog mjera za njihovo otklanjanje i sl.</w:t>
      </w:r>
    </w:p>
    <w:p w14:paraId="6EE567CD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71CC2519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15</w:t>
      </w:r>
    </w:p>
    <w:p w14:paraId="3FB81336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je ovlašćen da, kada ocijeni da postoje naročito ozbiljni slučajevi povrede prava građana ili nepravilnosti u radu organa lokalne samouprave, organa lokalne uprave ili javnih službi, Skupštini podnese poseban izvještaj sa ukazivanjem na utvrđene činjenice i okolnosti.</w:t>
      </w:r>
    </w:p>
    <w:p w14:paraId="13C5E473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Skupština je dužna da izvještaj iz stava 1 ovog člana razmotri na prvoj narednoj sjednici nakon njegovog podnošenja i da zauzme stav u pogledu navoda sadržanih u izvještaju.</w:t>
      </w:r>
    </w:p>
    <w:p w14:paraId="29D9BD7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Savjet je dužan da izvještaj iz stava 1 ovog člana dostavi i predsjedniku Opštine.</w:t>
      </w:r>
    </w:p>
    <w:p w14:paraId="2147103F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3E46FE54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III SASTAV I NAČIN IZBORA SAVJETA</w:t>
      </w:r>
    </w:p>
    <w:p w14:paraId="4497B442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</w:t>
      </w:r>
    </w:p>
    <w:p w14:paraId="0AEB165B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16</w:t>
      </w:r>
    </w:p>
    <w:p w14:paraId="77C55462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Savjet ima predsjednika i 6 članova. </w:t>
      </w:r>
    </w:p>
    <w:p w14:paraId="68431DB3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Predsjednika bira Savjet iz reda članova Savjeta, većinom glasova članova Savjeta. </w:t>
      </w:r>
    </w:p>
    <w:p w14:paraId="71D73DA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Savjet predstavlja i zastupa predsjednik Savjeta. </w:t>
      </w:r>
    </w:p>
    <w:p w14:paraId="696549DE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U slučaju spriječenosti, predsjednika može zamijeniti član savjeta, po njegovom prethodnom ovlašćenju.</w:t>
      </w:r>
    </w:p>
    <w:p w14:paraId="6DCFC2F4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</w:t>
      </w:r>
    </w:p>
    <w:p w14:paraId="56770DC4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17</w:t>
      </w:r>
    </w:p>
    <w:p w14:paraId="3057ED3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Mandat članova Savjeta traje 5 godin</w:t>
      </w:r>
      <w:r>
        <w:rPr>
          <w:rFonts w:ascii="Arial" w:hAnsi="Arial" w:cs="Arial"/>
        </w:rPr>
        <w:t>a</w:t>
      </w:r>
      <w:r w:rsidRPr="0038695F">
        <w:rPr>
          <w:rFonts w:ascii="Arial" w:hAnsi="Arial" w:cs="Arial"/>
        </w:rPr>
        <w:t xml:space="preserve">. </w:t>
      </w:r>
    </w:p>
    <w:p w14:paraId="383569F2" w14:textId="77777777" w:rsidR="00B11FC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742E3D81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lastRenderedPageBreak/>
        <w:t>Član 18</w:t>
      </w:r>
    </w:p>
    <w:p w14:paraId="2CFA80D7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Skupština opštine bira Savjet na predlog nadležnog Odbora za izbor i imenovanja.</w:t>
      </w:r>
    </w:p>
    <w:p w14:paraId="212D7F11" w14:textId="7EAC94C9" w:rsidR="00B11FCF" w:rsidRPr="004A3CD4" w:rsidRDefault="00B11FCF" w:rsidP="00B11FCF">
      <w:pPr>
        <w:pStyle w:val="T30X"/>
        <w:spacing w:before="0" w:after="0"/>
        <w:ind w:firstLine="720"/>
        <w:rPr>
          <w:rFonts w:ascii="Arial" w:hAnsi="Arial" w:cs="Arial"/>
          <w:bCs/>
        </w:rPr>
      </w:pPr>
      <w:r w:rsidRPr="0038695F">
        <w:rPr>
          <w:rFonts w:ascii="Arial" w:hAnsi="Arial" w:cs="Arial"/>
        </w:rPr>
        <w:t xml:space="preserve">Postupak izbora članova Savjeta pokreće se Javnim pozivom. Javni poziv sadrži: rokove za predlaganje kandidata, ko može biti predložen za člana Savjeta, ko ima pravo predlaganja kandidata, naziv organa kome se podnose predlozi, kao i druga pitanja od značaja za izbor članova savjeta. </w:t>
      </w:r>
      <w:r w:rsidRPr="00327A7C">
        <w:rPr>
          <w:rFonts w:ascii="Arial" w:hAnsi="Arial" w:cs="Arial"/>
        </w:rPr>
        <w:t>Javni poziv se objavlju</w:t>
      </w:r>
      <w:r>
        <w:rPr>
          <w:rFonts w:ascii="Arial" w:hAnsi="Arial" w:cs="Arial"/>
        </w:rPr>
        <w:t>je</w:t>
      </w:r>
      <w:r w:rsidRPr="00327A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putem </w:t>
      </w:r>
      <w:r>
        <w:rPr>
          <w:rFonts w:ascii="Arial" w:hAnsi="Arial" w:cs="Arial"/>
          <w:bCs/>
        </w:rPr>
        <w:t>Lokalnog javng emitera Radio Bijelo Polje,</w:t>
      </w:r>
      <w:r w:rsidRPr="004A3CD4">
        <w:rPr>
          <w:rFonts w:ascii="Arial" w:hAnsi="Arial" w:cs="Arial"/>
          <w:bCs/>
        </w:rPr>
        <w:t xml:space="preserve">na </w:t>
      </w:r>
      <w:r>
        <w:rPr>
          <w:rFonts w:ascii="Arial" w:hAnsi="Arial" w:cs="Arial"/>
          <w:bCs/>
        </w:rPr>
        <w:t xml:space="preserve">web </w:t>
      </w:r>
      <w:r w:rsidRPr="004A3CD4">
        <w:rPr>
          <w:rFonts w:ascii="Arial" w:hAnsi="Arial" w:cs="Arial"/>
          <w:bCs/>
        </w:rPr>
        <w:t>sajtu Opštine</w:t>
      </w:r>
      <w:r w:rsidR="00C70E7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oglasnoj table </w:t>
      </w:r>
      <w:r w:rsidR="00C70E74">
        <w:rPr>
          <w:rFonts w:ascii="Arial" w:hAnsi="Arial" w:cs="Arial"/>
          <w:bCs/>
        </w:rPr>
        <w:t>i</w:t>
      </w:r>
      <w:r w:rsidRPr="004A3CD4">
        <w:rPr>
          <w:rFonts w:ascii="Arial" w:hAnsi="Arial" w:cs="Arial"/>
          <w:bCs/>
        </w:rPr>
        <w:t xml:space="preserve"> sajtu Skupštine opštine)</w:t>
      </w:r>
    </w:p>
    <w:p w14:paraId="6970632C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Kandidate za članove Savjeta mogu predložiti: stručne institucije, organizacije, nevladine organizacije i stručna udruženja, mjesne zajednice i građani.</w:t>
      </w:r>
    </w:p>
    <w:p w14:paraId="17999170" w14:textId="77777777" w:rsidR="00B11FCF" w:rsidRPr="00327A7C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r w:rsidRPr="00327A7C">
        <w:rPr>
          <w:rFonts w:ascii="Arial" w:hAnsi="Arial" w:cs="Arial"/>
        </w:rPr>
        <w:t>Predlog mora biti obrazložen i sadržati pisanu saglasnost kandidata.</w:t>
      </w:r>
    </w:p>
    <w:p w14:paraId="796D323A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Odbor za izbor i imenovanja utvrđuje predlog liste iz reda predloženih kandidata za izbor članova Savjeta koji mora biti obrazložen.</w:t>
      </w:r>
    </w:p>
    <w:p w14:paraId="6D2CD247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Uz predlog se dostavlja Izvještaj o predloženim kandidatima sa potrebnim podacima.</w:t>
      </w:r>
    </w:p>
    <w:p w14:paraId="6B8BEDB1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Odbor za izbor i imenovanja može obaviti konsultacije sa predlagačima i drugim subjektima u vezi sa dostavljenim predlozima.</w:t>
      </w:r>
    </w:p>
    <w:p w14:paraId="722AA1E6" w14:textId="77777777" w:rsidR="00B11FCF" w:rsidRPr="0038695F" w:rsidRDefault="00B11FCF" w:rsidP="00B11FCF">
      <w:pPr>
        <w:pStyle w:val="T30X"/>
        <w:spacing w:before="0" w:after="0"/>
        <w:ind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8695F">
        <w:rPr>
          <w:rFonts w:ascii="Arial" w:hAnsi="Arial" w:cs="Arial"/>
        </w:rPr>
        <w:t>U postupku utvrđivanja liste kandidata vodi se računa o rodnoj ravnopravnosti.</w:t>
      </w:r>
    </w:p>
    <w:p w14:paraId="6891E578" w14:textId="77777777" w:rsidR="00B11FCF" w:rsidRPr="0038695F" w:rsidRDefault="00B11FCF" w:rsidP="00B11FCF">
      <w:pPr>
        <w:pStyle w:val="T30X"/>
        <w:ind w:firstLine="0"/>
        <w:rPr>
          <w:rFonts w:ascii="Arial" w:hAnsi="Arial" w:cs="Arial"/>
        </w:rPr>
      </w:pPr>
    </w:p>
    <w:p w14:paraId="401D229B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19</w:t>
      </w:r>
    </w:p>
    <w:p w14:paraId="38C5715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Za člana Savjeta bira se lice iz reda istaknutih i uglednih građana opštine, i stručnjaka iz oblasti od značaja za lokalnu samoupravu. </w:t>
      </w:r>
    </w:p>
    <w:p w14:paraId="099B13EB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</w:t>
      </w:r>
    </w:p>
    <w:p w14:paraId="1D57E003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20</w:t>
      </w:r>
    </w:p>
    <w:p w14:paraId="4F398B1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Član Savjeta može biti razriješen prije isteka mandata u slučaju da ne vrši funkciju u skladu sa ovom Odlukom, Poslovnikom o radu Savjeta ili ako je osuđen za krivično djelo koje ga čini nedostojnim za vršenje funkcije člana Savjeta. </w:t>
      </w:r>
    </w:p>
    <w:p w14:paraId="6D98B296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O nastupanju okolnosti iz stava 1 ovog člana, Savjet je dužan da obavijesti Skupštinu. </w:t>
      </w:r>
    </w:p>
    <w:p w14:paraId="1608132A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Odbor za izbor i imenovanja Skupštine sprovodi postupak za utvrđivanje razloga za razrješenje. </w:t>
      </w:r>
    </w:p>
    <w:p w14:paraId="4ED3F0A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U postupku pred Odborom za izbor i imenovanja član Savjeta ima pravo da se izjasni. </w:t>
      </w:r>
    </w:p>
    <w:p w14:paraId="33C4DC17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Odbor</w:t>
      </w:r>
      <w:r w:rsidRPr="0038695F">
        <w:rPr>
          <w:rFonts w:ascii="Arial" w:hAnsi="Arial" w:cs="Arial"/>
        </w:rPr>
        <w:t xml:space="preserve"> za izbor i imenovanja podnosi Skupštini obrazloženi predlog odluke o razrješenju. </w:t>
      </w:r>
    </w:p>
    <w:p w14:paraId="223C1D86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774555DF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21</w:t>
      </w:r>
    </w:p>
    <w:p w14:paraId="39FC550E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Članu Savjeta prestaje funkcija:</w:t>
      </w:r>
    </w:p>
    <w:p w14:paraId="2057DC78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>1) podnošenjem ostavke;</w:t>
      </w:r>
    </w:p>
    <w:p w14:paraId="65B1AE06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2) smrću; </w:t>
      </w:r>
    </w:p>
    <w:p w14:paraId="6C6E127D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>3) istekom manadata;</w:t>
      </w:r>
    </w:p>
    <w:p w14:paraId="55C83E58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>4) promjenom prebivališta;</w:t>
      </w:r>
    </w:p>
    <w:p w14:paraId="7E0C9666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>5) prestankom državljanstva;</w:t>
      </w:r>
    </w:p>
    <w:p w14:paraId="43F2BE7E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>6) ako nastupe okolnosti iz člana 22 ove Odluke;</w:t>
      </w:r>
    </w:p>
    <w:p w14:paraId="5282AFEE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7) ako trajno izgubi sposobnost za vršenje funkcije.   </w:t>
      </w:r>
    </w:p>
    <w:p w14:paraId="7AA4143A" w14:textId="77777777" w:rsidR="00B11FCF" w:rsidRPr="0038695F" w:rsidRDefault="00B11FCF" w:rsidP="00B11FCF">
      <w:pPr>
        <w:pStyle w:val="T30X"/>
        <w:spacing w:before="0" w:after="0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Kad nastupi neki od razloga za prestanak funkcije, nadležno radno tijelo Skupštine o tome obavještava Skupštinu. </w:t>
      </w:r>
    </w:p>
    <w:p w14:paraId="03A8DBF3" w14:textId="77777777" w:rsidR="00B11FCF" w:rsidRDefault="00B11FCF" w:rsidP="00B11FCF">
      <w:pPr>
        <w:pStyle w:val="T30X"/>
        <w:spacing w:before="0" w:after="0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Skupština svojim aktom konstatuje prestanak funkcije člana Savjeta i pokreće postupak izbora. </w:t>
      </w:r>
    </w:p>
    <w:p w14:paraId="000ABBE5" w14:textId="77777777" w:rsidR="00B11FCF" w:rsidRDefault="00B11FCF" w:rsidP="00B11FCF">
      <w:pPr>
        <w:pStyle w:val="T30X"/>
        <w:spacing w:before="0" w:after="0"/>
        <w:ind w:firstLine="170"/>
        <w:rPr>
          <w:rFonts w:ascii="Arial" w:hAnsi="Arial" w:cs="Arial"/>
        </w:rPr>
      </w:pPr>
    </w:p>
    <w:p w14:paraId="36D6DFAA" w14:textId="77777777" w:rsidR="00B11FCF" w:rsidRPr="0038695F" w:rsidRDefault="00B11FCF" w:rsidP="00B11FCF">
      <w:pPr>
        <w:pStyle w:val="T30X"/>
        <w:spacing w:before="0" w:after="0"/>
        <w:ind w:firstLine="170"/>
        <w:rPr>
          <w:rFonts w:ascii="Arial" w:hAnsi="Arial" w:cs="Arial"/>
        </w:rPr>
      </w:pPr>
    </w:p>
    <w:p w14:paraId="6C4F3B52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lastRenderedPageBreak/>
        <w:t>Član 22</w:t>
      </w:r>
    </w:p>
    <w:p w14:paraId="36A3B9F7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Za člana Savjeta ne može biti biran:  </w:t>
      </w:r>
    </w:p>
    <w:p w14:paraId="42221844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1) poslanik ili odbornk; </w:t>
      </w:r>
    </w:p>
    <w:p w14:paraId="3109B2E2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2) lokalni funkcioner, starješina organa lokalne uprave i rukovodilac javne službe koji vrše javna ovlašćenja; </w:t>
      </w:r>
    </w:p>
    <w:p w14:paraId="5C205B32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>3) izabrana, imenovana ili postavljena lica u državnim organima i organima uprave, odnosno javnim preduzećima i službama čiji je osnivač Vlada Crne Gore;</w:t>
      </w:r>
    </w:p>
    <w:p w14:paraId="605777DC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4) funkcioneri i članovi organa političkih stranaka (predsjednici stranaka, članovi predsjedništva, njihovi zamjenici, članovi izvršnih i glavnih odbora, kao i drugi stranački funkcioneri); </w:t>
      </w:r>
    </w:p>
    <w:p w14:paraId="169E25F1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>5) lice koje je pravosnažno osuđeno za krivično djelo protiv službene dužnosti, bez obzira na izrečenu kaznu, ili za drugo krivično djelo na kaznu zatvora u trajanju od šest mjeseci ili duže, kao i na uslovnu osudu izrečenu za krivično djelo za koje je propis</w:t>
      </w:r>
      <w:r>
        <w:rPr>
          <w:rFonts w:ascii="Arial" w:hAnsi="Arial" w:cs="Arial"/>
        </w:rPr>
        <w:t xml:space="preserve">ana kazna zatvora u trajanju od </w:t>
      </w:r>
      <w:r w:rsidRPr="0038695F">
        <w:rPr>
          <w:rFonts w:ascii="Arial" w:hAnsi="Arial" w:cs="Arial"/>
        </w:rPr>
        <w:t>šest mjeseci ili duže.</w:t>
      </w:r>
    </w:p>
    <w:p w14:paraId="4C223B0F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</w:p>
    <w:p w14:paraId="5840843E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IV NAČIN RADA SAVJETA</w:t>
      </w:r>
    </w:p>
    <w:p w14:paraId="3E1E178A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  <w:b/>
          <w:bCs/>
        </w:rPr>
      </w:pPr>
    </w:p>
    <w:p w14:paraId="2379DAE2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23</w:t>
      </w:r>
    </w:p>
    <w:p w14:paraId="14CECA19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Savjet radi u sjednicama. </w:t>
      </w:r>
    </w:p>
    <w:p w14:paraId="5C2BEB2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Način rada i odlučivanja i druga pitanja od značaja za rad Savjeta bliže se uređuje Poslovnikom o radu koji donosi Savjet.</w:t>
      </w:r>
    </w:p>
    <w:p w14:paraId="1BEA5C91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08EDEF23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24</w:t>
      </w:r>
    </w:p>
    <w:p w14:paraId="2AFBB7A1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Savjet postupa po sopstvenoj inicijativi, po predlozima državnih organa, organa lokalne samouprave i javnih službi koje vrše javna ovlašćenja, po inicijativi građana i nevladinih organizacija koje smatraju da su aktom državnih organa, organa lokalne  samouprave, organa lokalne uprave i javnih službi narušena prava na lokalnu  samoupravu ili slobode i prava građana. </w:t>
      </w:r>
    </w:p>
    <w:p w14:paraId="15C071E2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Inicijativa se podnosi u pisanoj formi. </w:t>
      </w:r>
    </w:p>
    <w:p w14:paraId="12DDAF24" w14:textId="77777777" w:rsidR="00B11FC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Kad Savjet pokrene postupak po inicijativi, obavijestiće o tome podnosioca inicijative i organ odnosno javnu službu na čije se postupanje inicijativa odnosi. </w:t>
      </w:r>
    </w:p>
    <w:p w14:paraId="5D94A8DB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</w:p>
    <w:p w14:paraId="2B1EBCEA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25</w:t>
      </w:r>
    </w:p>
    <w:p w14:paraId="5542314D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Savjet postupa  po predlozima državnih organa ako s e  propisima i drugim  aktima organa lokalne samouprave, organima lokalne uprave i javnih službi čiji je osnivač Opštna, ili  radnjama ovih organa narušavaju prava i slobode lokalnog stanovništva, ne ostvaruju utvrđena prava i dužnosti Opštine ili se ne obezbjeđuje potreban obim i kvalitet  javnih usluga.  </w:t>
      </w:r>
    </w:p>
    <w:p w14:paraId="676A3E12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71DC3657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26</w:t>
      </w:r>
    </w:p>
    <w:p w14:paraId="281DA6D6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>Organ lokalne samouprave i javna služba dužani su da, radi ostvarivanja prava i dužnosti Savjeta, na njegov zahtjev, stavi Savjetu na raspolaganje sve podatke i obavještenja iz svoje nadležnosti.</w:t>
      </w:r>
    </w:p>
    <w:p w14:paraId="149623B5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Radi ostvarivanja prava iz stava 1 ovog člana Savjet podnosi zahtjev. </w:t>
      </w:r>
    </w:p>
    <w:p w14:paraId="5EE4809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27A7C">
        <w:rPr>
          <w:rFonts w:ascii="Arial" w:hAnsi="Arial" w:cs="Arial"/>
        </w:rPr>
        <w:t xml:space="preserve">Organ </w:t>
      </w:r>
      <w:r w:rsidRPr="0038695F">
        <w:rPr>
          <w:rFonts w:ascii="Arial" w:hAnsi="Arial" w:cs="Arial"/>
        </w:rPr>
        <w:t>i javna služba dužni su da po zahtjevu Savjeta postupe bez odlaganja, a najkasnije u roku od 15 dana od dana prijema zahtjeva.</w:t>
      </w:r>
    </w:p>
    <w:p w14:paraId="7F24FBC9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Ako </w:t>
      </w:r>
      <w:r w:rsidRPr="00327A7C">
        <w:rPr>
          <w:rFonts w:ascii="Arial" w:hAnsi="Arial" w:cs="Arial"/>
        </w:rPr>
        <w:t xml:space="preserve">organ </w:t>
      </w:r>
      <w:r w:rsidRPr="0038695F">
        <w:rPr>
          <w:rFonts w:ascii="Arial" w:hAnsi="Arial" w:cs="Arial"/>
        </w:rPr>
        <w:t xml:space="preserve">ili javna služba u utvrđenom roku ne dostave podatke Savjetu, Savjet će o tome obavijestiti Skupštinu i predsjednika Opštine.  </w:t>
      </w:r>
    </w:p>
    <w:p w14:paraId="48DC484D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lastRenderedPageBreak/>
        <w:t xml:space="preserve"> </w:t>
      </w:r>
    </w:p>
    <w:p w14:paraId="45CE9C98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27</w:t>
      </w:r>
    </w:p>
    <w:p w14:paraId="225A5F44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Savjet može da zatraži od izabranih, imenovanih i postavljenih lica da se izjasne o </w:t>
      </w:r>
    </w:p>
    <w:p w14:paraId="00058AB3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pitanjima iz okvira njihovih prava i dužnosti, kada je to potrebno za postupanje Savjeta. </w:t>
      </w:r>
    </w:p>
    <w:p w14:paraId="6FA6A414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Na zahtjev Savjeta lica iz stava 1 ovog člana dužna su da se izjasne.   </w:t>
      </w:r>
    </w:p>
    <w:p w14:paraId="66F1962A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5D1ABD78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28</w:t>
      </w:r>
    </w:p>
    <w:p w14:paraId="65E39A3B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Ako Savjet utvrdi da postoje povrede prava građana ili da treba preduzeti mjere za efikasnije vršenje poslova i unaprjeđivanje pružanja kvaliteta javnih usluga od strane organa lokalne uprave i javne službe koja vrši javna ovlašćenja, uputiće predlog tom organu, odnosno službi. </w:t>
      </w:r>
    </w:p>
    <w:p w14:paraId="67A0AA04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Savjet o upućenom predlogu obavještava Skupštinu i predsjednika Opštine. </w:t>
      </w:r>
    </w:p>
    <w:p w14:paraId="19A73A77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27A7C">
        <w:rPr>
          <w:rFonts w:ascii="Arial" w:hAnsi="Arial" w:cs="Arial"/>
        </w:rPr>
        <w:t>Organ</w:t>
      </w:r>
      <w:r w:rsidRPr="0038695F">
        <w:rPr>
          <w:rFonts w:ascii="Arial" w:hAnsi="Arial" w:cs="Arial"/>
        </w:rPr>
        <w:t xml:space="preserve"> ili služba iz stava 1 ovog člana, kome je Savjet uputio predlog dužan je da odmah a najkasnije u roku od 60 dana, obavijesti Savjet o mjerama koje je preduzeo. </w:t>
      </w:r>
    </w:p>
    <w:p w14:paraId="3F7AA6F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O preduzetim mjerama organ ili javna služba obavještavaju Skupštinu i predsjednika Opštine. </w:t>
      </w:r>
    </w:p>
    <w:p w14:paraId="5F654E37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Ako organ ili javna služba u utvrđenom roku ne obavijeste Savjet o tome što je preduzeto, ili ako Savjet smatra da preduzete mjere nijesu odgovarajuće, Savjet će o tome obavijestiti Skupštinu i predsjednika Opštine.  </w:t>
      </w:r>
    </w:p>
    <w:p w14:paraId="4C767C0E" w14:textId="77777777" w:rsidR="00B11FCF" w:rsidRPr="0038695F" w:rsidRDefault="00B11FCF" w:rsidP="00B11FCF">
      <w:pPr>
        <w:pStyle w:val="T30X"/>
        <w:ind w:firstLine="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Član 29</w:t>
      </w:r>
    </w:p>
    <w:p w14:paraId="78820A63" w14:textId="77777777" w:rsidR="00B11FCF" w:rsidRPr="0038695F" w:rsidRDefault="00B11FCF" w:rsidP="00B11FCF">
      <w:pPr>
        <w:pStyle w:val="T30X"/>
        <w:ind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38695F">
        <w:rPr>
          <w:rFonts w:ascii="Arial" w:hAnsi="Arial" w:cs="Arial"/>
        </w:rPr>
        <w:t>Stručne i administrativno-tehničke poslove za Savjet obavlja Služba Skupštine.</w:t>
      </w:r>
    </w:p>
    <w:p w14:paraId="2FD567FC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2902F74E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V ZAVRŠNE ODREDBE</w:t>
      </w:r>
    </w:p>
    <w:p w14:paraId="71D62D1F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Član 30</w:t>
      </w:r>
    </w:p>
    <w:p w14:paraId="408DEA89" w14:textId="77777777" w:rsidR="00B11FCF" w:rsidRPr="0038695F" w:rsidRDefault="00B11FCF" w:rsidP="00B11FCF">
      <w:pPr>
        <w:pStyle w:val="N02Y"/>
        <w:ind w:firstLine="720"/>
        <w:rPr>
          <w:rFonts w:ascii="Arial" w:hAnsi="Arial" w:cs="Arial"/>
          <w:color w:val="auto"/>
        </w:rPr>
      </w:pPr>
      <w:r w:rsidRPr="0038695F">
        <w:rPr>
          <w:rFonts w:ascii="Arial" w:hAnsi="Arial" w:cs="Arial"/>
          <w:color w:val="auto"/>
        </w:rPr>
        <w:t xml:space="preserve">Stupanjem na snagu ove odluke prestaje da važi Odluka o </w:t>
      </w:r>
      <w:r>
        <w:rPr>
          <w:rFonts w:ascii="Arial" w:hAnsi="Arial" w:cs="Arial"/>
          <w:color w:val="auto"/>
        </w:rPr>
        <w:t>S</w:t>
      </w:r>
      <w:r w:rsidRPr="0038695F">
        <w:rPr>
          <w:rFonts w:ascii="Arial" w:hAnsi="Arial" w:cs="Arial"/>
          <w:color w:val="auto"/>
        </w:rPr>
        <w:t xml:space="preserve">avjetu za razvoj i zaštitu lokalne samouprave ("Sl. list </w:t>
      </w:r>
      <w:r>
        <w:rPr>
          <w:rFonts w:ascii="Arial" w:hAnsi="Arial" w:cs="Arial"/>
          <w:color w:val="auto"/>
        </w:rPr>
        <w:t>R</w:t>
      </w:r>
      <w:r w:rsidRPr="0038695F">
        <w:rPr>
          <w:rFonts w:ascii="Arial" w:hAnsi="Arial" w:cs="Arial"/>
          <w:color w:val="auto"/>
        </w:rPr>
        <w:t>CG - opštinski propisi"</w:t>
      </w:r>
      <w:r>
        <w:rPr>
          <w:rFonts w:ascii="Arial" w:hAnsi="Arial" w:cs="Arial"/>
          <w:color w:val="auto"/>
        </w:rPr>
        <w:t xml:space="preserve"> br. 2/06 </w:t>
      </w:r>
      <w:r w:rsidRPr="0038695F">
        <w:rPr>
          <w:rFonts w:ascii="Arial" w:hAnsi="Arial" w:cs="Arial"/>
          <w:color w:val="auto"/>
        </w:rPr>
        <w:t>).</w:t>
      </w:r>
    </w:p>
    <w:p w14:paraId="1F6B4F61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Član 31</w:t>
      </w:r>
    </w:p>
    <w:p w14:paraId="72D10C42" w14:textId="77777777" w:rsidR="00B11FCF" w:rsidRPr="0038695F" w:rsidRDefault="00B11FCF" w:rsidP="00B11FCF">
      <w:pPr>
        <w:pStyle w:val="N02Y"/>
        <w:ind w:firstLine="720"/>
        <w:rPr>
          <w:rFonts w:ascii="Arial" w:hAnsi="Arial" w:cs="Arial"/>
          <w:color w:val="auto"/>
        </w:rPr>
      </w:pPr>
      <w:r w:rsidRPr="0038695F">
        <w:rPr>
          <w:rFonts w:ascii="Arial" w:hAnsi="Arial" w:cs="Arial"/>
          <w:color w:val="auto"/>
        </w:rPr>
        <w:t>Ova odluka stupa na snagu osmog dana od dana objavljivanja u "Službenom listu Crne Gore - Opštinski propisi".</w:t>
      </w:r>
    </w:p>
    <w:p w14:paraId="58D03FE1" w14:textId="77777777" w:rsidR="00B11FCF" w:rsidRPr="0038695F" w:rsidRDefault="00B11FCF" w:rsidP="00B11FCF">
      <w:pPr>
        <w:pStyle w:val="N02Y"/>
        <w:ind w:firstLine="170"/>
        <w:rPr>
          <w:rFonts w:ascii="Arial" w:hAnsi="Arial" w:cs="Arial"/>
          <w:color w:val="auto"/>
        </w:rPr>
      </w:pPr>
    </w:p>
    <w:p w14:paraId="482F76FA" w14:textId="77777777" w:rsidR="00B11FCF" w:rsidRPr="0038695F" w:rsidRDefault="00B11FCF" w:rsidP="00B11FCF">
      <w:pPr>
        <w:spacing w:after="12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5FF41F4C" w14:textId="78F0DA41" w:rsidR="00B11FCF" w:rsidRPr="0038695F" w:rsidRDefault="00B11FCF" w:rsidP="00B11FC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>Broj: 02-016/2</w:t>
      </w:r>
      <w:r w:rsidR="0057651E">
        <w:rPr>
          <w:rFonts w:ascii="Arial" w:hAnsi="Arial" w:cs="Arial"/>
          <w:sz w:val="22"/>
          <w:szCs w:val="22"/>
        </w:rPr>
        <w:t>6</w:t>
      </w:r>
      <w:r w:rsidRPr="0038695F">
        <w:rPr>
          <w:rFonts w:ascii="Arial" w:hAnsi="Arial" w:cs="Arial"/>
          <w:sz w:val="22"/>
          <w:szCs w:val="22"/>
        </w:rPr>
        <w:t>-</w:t>
      </w:r>
      <w:r w:rsidR="007F3AE7">
        <w:rPr>
          <w:rFonts w:ascii="Arial" w:hAnsi="Arial" w:cs="Arial"/>
          <w:sz w:val="22"/>
          <w:szCs w:val="22"/>
        </w:rPr>
        <w:t>45</w:t>
      </w:r>
    </w:p>
    <w:p w14:paraId="33619594" w14:textId="12A873CC" w:rsidR="00B11FCF" w:rsidRPr="0038695F" w:rsidRDefault="00B11FCF" w:rsidP="00B11FC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 xml:space="preserve">Bijelo Polje, </w:t>
      </w:r>
      <w:r w:rsidR="0057651E">
        <w:rPr>
          <w:rFonts w:ascii="Arial" w:hAnsi="Arial" w:cs="Arial"/>
          <w:sz w:val="22"/>
          <w:szCs w:val="22"/>
        </w:rPr>
        <w:t>24.3</w:t>
      </w:r>
      <w:r w:rsidRPr="0038695F">
        <w:rPr>
          <w:rFonts w:ascii="Arial" w:hAnsi="Arial" w:cs="Arial"/>
          <w:sz w:val="22"/>
          <w:szCs w:val="22"/>
        </w:rPr>
        <w:t>.202</w:t>
      </w:r>
      <w:r w:rsidR="0057651E">
        <w:rPr>
          <w:rFonts w:ascii="Arial" w:hAnsi="Arial" w:cs="Arial"/>
          <w:sz w:val="22"/>
          <w:szCs w:val="22"/>
        </w:rPr>
        <w:t>6</w:t>
      </w:r>
      <w:r w:rsidRPr="0038695F">
        <w:rPr>
          <w:rFonts w:ascii="Arial" w:hAnsi="Arial" w:cs="Arial"/>
          <w:sz w:val="22"/>
          <w:szCs w:val="22"/>
        </w:rPr>
        <w:t xml:space="preserve">. godine  </w:t>
      </w:r>
    </w:p>
    <w:p w14:paraId="41B428FB" w14:textId="77777777" w:rsidR="00B11FCF" w:rsidRPr="0038695F" w:rsidRDefault="00B11FCF" w:rsidP="00B11FC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Pr="0038695F">
        <w:rPr>
          <w:rFonts w:ascii="Arial" w:hAnsi="Arial" w:cs="Arial"/>
          <w:b/>
          <w:sz w:val="22"/>
          <w:szCs w:val="22"/>
        </w:rPr>
        <w:t xml:space="preserve">                                     </w:t>
      </w:r>
    </w:p>
    <w:p w14:paraId="3794F356" w14:textId="77777777" w:rsidR="00B11FCF" w:rsidRPr="0038695F" w:rsidRDefault="00B11FCF" w:rsidP="00B11FCF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81010078"/>
    </w:p>
    <w:bookmarkEnd w:id="1"/>
    <w:p w14:paraId="6847EF06" w14:textId="77777777" w:rsidR="00B11FCF" w:rsidRPr="0038695F" w:rsidRDefault="00B11FCF" w:rsidP="00B11FC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8695F">
        <w:rPr>
          <w:rFonts w:ascii="Arial" w:hAnsi="Arial" w:cs="Arial"/>
          <w:b/>
          <w:bCs/>
          <w:sz w:val="22"/>
          <w:szCs w:val="22"/>
        </w:rPr>
        <w:t xml:space="preserve">Skupština opštine Bijelo Polje </w:t>
      </w:r>
    </w:p>
    <w:p w14:paraId="2AA9AFA5" w14:textId="77777777" w:rsidR="00B11FCF" w:rsidRPr="0038695F" w:rsidRDefault="00B11FCF" w:rsidP="00B11FCF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sz w:val="22"/>
          <w:szCs w:val="22"/>
        </w:rPr>
      </w:pPr>
      <w:r w:rsidRPr="0038695F">
        <w:rPr>
          <w:rFonts w:ascii="Arial" w:hAnsi="Arial" w:cs="Arial"/>
          <w:b/>
          <w:bCs/>
          <w:sz w:val="22"/>
          <w:szCs w:val="22"/>
        </w:rPr>
        <w:t xml:space="preserve">   Predsjednica,</w:t>
      </w:r>
    </w:p>
    <w:p w14:paraId="4AC40716" w14:textId="77777777" w:rsidR="00B11FCF" w:rsidRPr="0038695F" w:rsidRDefault="00B11FCF" w:rsidP="00B11FCF">
      <w:pPr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38695F">
        <w:rPr>
          <w:rFonts w:ascii="Arial" w:hAnsi="Arial" w:cs="Arial"/>
          <w:sz w:val="22"/>
          <w:szCs w:val="22"/>
        </w:rPr>
        <w:t xml:space="preserve">Selma Omerović </w:t>
      </w:r>
    </w:p>
    <w:p w14:paraId="5D50AF08" w14:textId="77777777" w:rsidR="00B11FCF" w:rsidRDefault="00B11FCF" w:rsidP="00B11FCF">
      <w:pPr>
        <w:rPr>
          <w:rFonts w:ascii="Arial" w:hAnsi="Arial" w:cs="Arial"/>
          <w:sz w:val="22"/>
          <w:szCs w:val="22"/>
        </w:rPr>
      </w:pPr>
    </w:p>
    <w:p w14:paraId="7B57B027" w14:textId="77777777" w:rsidR="00B11FCF" w:rsidRDefault="00B11FCF" w:rsidP="00B11FCF">
      <w:pPr>
        <w:rPr>
          <w:rFonts w:ascii="Arial" w:hAnsi="Arial" w:cs="Arial"/>
          <w:sz w:val="22"/>
          <w:szCs w:val="22"/>
        </w:rPr>
      </w:pPr>
    </w:p>
    <w:p w14:paraId="7D83D61B" w14:textId="77777777" w:rsidR="0050048E" w:rsidRDefault="0050048E"/>
    <w:sectPr w:rsidR="0050048E" w:rsidSect="00B11F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F511D" w14:textId="77777777" w:rsidR="009D0EAB" w:rsidRDefault="009D0EAB">
      <w:pPr>
        <w:spacing w:after="0" w:line="240" w:lineRule="auto"/>
      </w:pPr>
      <w:r>
        <w:separator/>
      </w:r>
    </w:p>
  </w:endnote>
  <w:endnote w:type="continuationSeparator" w:id="0">
    <w:p w14:paraId="622BE2E9" w14:textId="77777777" w:rsidR="009D0EAB" w:rsidRDefault="009D0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11C2C" w14:textId="77777777" w:rsidR="00B11FCF" w:rsidRDefault="00B11FCF">
    <w:pPr>
      <w:tabs>
        <w:tab w:val="right" w:pos="10205"/>
      </w:tabs>
      <w:spacing w:line="259" w:lineRule="auto"/>
    </w:pPr>
    <w:r>
      <w:rPr>
        <w:rFonts w:ascii="Calibri" w:eastAsia="Calibri" w:hAnsi="Calibri" w:cs="Calibri"/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547F9E7" wp14:editId="054AC20D">
              <wp:simplePos x="0" y="0"/>
              <wp:positionH relativeFrom="page">
                <wp:posOffset>496799</wp:posOffset>
              </wp:positionH>
              <wp:positionV relativeFrom="page">
                <wp:posOffset>10139108</wp:posOffset>
              </wp:positionV>
              <wp:extent cx="6479997" cy="6350"/>
              <wp:effectExtent l="0" t="0" r="0" b="0"/>
              <wp:wrapSquare wrapText="bothSides"/>
              <wp:docPr id="83398" name="Group 833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997" cy="6350"/>
                        <a:chOff x="0" y="0"/>
                        <a:chExt cx="6479997" cy="6350"/>
                      </a:xfrm>
                    </wpg:grpSpPr>
                    <wps:wsp>
                      <wps:cNvPr id="83399" name="Shape 83399"/>
                      <wps:cNvSpPr/>
                      <wps:spPr>
                        <a:xfrm>
                          <a:off x="0" y="0"/>
                          <a:ext cx="3239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9999">
                              <a:moveTo>
                                <a:pt x="3239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3400" name="Shape 83400"/>
                      <wps:cNvSpPr/>
                      <wps:spPr>
                        <a:xfrm>
                          <a:off x="3239999" y="0"/>
                          <a:ext cx="3239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9999">
                              <a:moveTo>
                                <a:pt x="3239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676A4017" id="Group 83398" o:spid="_x0000_s1026" style="position:absolute;margin-left:39.1pt;margin-top:798.35pt;width:510.25pt;height:.5pt;z-index:251659264;mso-position-horizontal-relative:page;mso-position-vertical-relative:page" coordsize="647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">
              <v:shape id="Shape 83399" o:spid="_x0000_s1027" style="position:absolute;width:32399;height:0;visibility:visible;mso-wrap-style:square;v-text-anchor:top" coordsize="323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" path="m3239999,l,e" filled="f" strokeweight=".5pt">
                <v:stroke miterlimit="83231f" joinstyle="miter"/>
                <v:path arrowok="t" textboxrect="0,0,3239999,0"/>
              </v:shape>
              <v:shape id="Shape 83400" o:spid="_x0000_s1028" style="position:absolute;left:32399;width:32400;height:0;visibility:visible;mso-wrap-style:square;v-text-anchor:top" coordsize="323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" path="m3239999,l,e" filled="f" strokeweight=".5pt">
                <v:stroke miterlimit="83231f" joinstyle="miter"/>
                <v:path arrowok="t" textboxrect="0,0,3239999,0"/>
              </v:shape>
              <w10:wrap type="square" anchorx="page" anchory="page"/>
            </v:group>
          </w:pict>
        </mc:Fallback>
      </mc:AlternateContent>
    </w:r>
    <w:r>
      <w:rPr>
        <w:rFonts w:ascii="Verdana" w:eastAsia="Verdana" w:hAnsi="Verdana" w:cs="Verdana"/>
        <w:b/>
        <w:color w:val="4682B4"/>
        <w:sz w:val="18"/>
      </w:rPr>
      <w:t>Pravni ekspert doo, Podgorica</w:t>
    </w:r>
    <w:r>
      <w:rPr>
        <w:rFonts w:ascii="Verdana" w:eastAsia="Verdana" w:hAnsi="Verdana" w:cs="Verdana"/>
        <w:b/>
        <w:color w:val="4682B4"/>
        <w:sz w:val="18"/>
      </w:rPr>
      <w:tab/>
    </w:r>
    <w:r>
      <w:rPr>
        <w:rFonts w:ascii="Times New Roman" w:eastAsia="Times New Roman" w:hAnsi="Times New Roman" w:cs="Times New Roman"/>
        <w:color w:val="000000"/>
        <w:sz w:val="22"/>
      </w:rPr>
      <w:fldChar w:fldCharType="begin"/>
    </w:r>
    <w:r>
      <w:instrText xml:space="preserve"> PAGE   \* MERGEFORMAT </w:instrText>
    </w:r>
    <w:r>
      <w:rPr>
        <w:rFonts w:ascii="Times New Roman" w:eastAsia="Times New Roman" w:hAnsi="Times New Roman" w:cs="Times New Roman"/>
        <w:color w:val="000000"/>
        <w:sz w:val="22"/>
      </w:rPr>
      <w:fldChar w:fldCharType="separate"/>
    </w:r>
    <w:r w:rsidRPr="00693BF0">
      <w:rPr>
        <w:rFonts w:ascii="Verdana" w:eastAsia="Verdana" w:hAnsi="Verdana" w:cs="Verdana"/>
        <w:b/>
        <w:noProof/>
        <w:color w:val="4682B4"/>
        <w:sz w:val="18"/>
      </w:rPr>
      <w:t>4</w:t>
    </w:r>
    <w:r>
      <w:rPr>
        <w:rFonts w:ascii="Verdana" w:eastAsia="Verdana" w:hAnsi="Verdana" w:cs="Verdana"/>
        <w:b/>
        <w:color w:val="4682B4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29DE" w14:textId="77777777" w:rsidR="00B11FCF" w:rsidRDefault="00B11FCF" w:rsidP="009104D2">
    <w:pPr>
      <w:tabs>
        <w:tab w:val="right" w:pos="10206"/>
      </w:tabs>
      <w:spacing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A3EF" w14:textId="77777777" w:rsidR="00B11FCF" w:rsidRDefault="00B11FCF">
    <w:pPr>
      <w:tabs>
        <w:tab w:val="right" w:pos="10205"/>
      </w:tabs>
      <w:spacing w:line="259" w:lineRule="auto"/>
    </w:pPr>
    <w:r>
      <w:rPr>
        <w:rFonts w:ascii="Calibri" w:eastAsia="Calibri" w:hAnsi="Calibri" w:cs="Calibri"/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3A3E7127" wp14:editId="0887B1AC">
              <wp:simplePos x="0" y="0"/>
              <wp:positionH relativeFrom="page">
                <wp:posOffset>496799</wp:posOffset>
              </wp:positionH>
              <wp:positionV relativeFrom="page">
                <wp:posOffset>10139108</wp:posOffset>
              </wp:positionV>
              <wp:extent cx="6479997" cy="6350"/>
              <wp:effectExtent l="0" t="0" r="0" b="0"/>
              <wp:wrapSquare wrapText="bothSides"/>
              <wp:docPr id="83337" name="Group 833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997" cy="6350"/>
                        <a:chOff x="0" y="0"/>
                        <a:chExt cx="6479997" cy="6350"/>
                      </a:xfrm>
                    </wpg:grpSpPr>
                    <wps:wsp>
                      <wps:cNvPr id="83338" name="Shape 83338"/>
                      <wps:cNvSpPr/>
                      <wps:spPr>
                        <a:xfrm>
                          <a:off x="0" y="0"/>
                          <a:ext cx="3239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9999">
                              <a:moveTo>
                                <a:pt x="3239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3339" name="Shape 83339"/>
                      <wps:cNvSpPr/>
                      <wps:spPr>
                        <a:xfrm>
                          <a:off x="3239999" y="0"/>
                          <a:ext cx="3239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9999">
                              <a:moveTo>
                                <a:pt x="3239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81606D0" id="Group 83337" o:spid="_x0000_s1026" style="position:absolute;margin-left:39.1pt;margin-top:798.35pt;width:510.25pt;height:.5pt;z-index:251659264;mso-position-horizontal-relative:page;mso-position-vertical-relative:page" coordsize="647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">
              <v:shape id="Shape 83338" o:spid="_x0000_s1027" style="position:absolute;width:32399;height:0;visibility:visible;mso-wrap-style:square;v-text-anchor:top" coordsize="323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" path="m3239999,l,e" filled="f" strokeweight=".5pt">
                <v:stroke miterlimit="83231f" joinstyle="miter"/>
                <v:path arrowok="t" textboxrect="0,0,3239999,0"/>
              </v:shape>
              <v:shape id="Shape 83339" o:spid="_x0000_s1028" style="position:absolute;left:32399;width:32400;height:0;visibility:visible;mso-wrap-style:square;v-text-anchor:top" coordsize="323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" path="m3239999,l,e" filled="f" strokeweight=".5pt">
                <v:stroke miterlimit="83231f" joinstyle="miter"/>
                <v:path arrowok="t" textboxrect="0,0,3239999,0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8D62A" w14:textId="77777777" w:rsidR="009D0EAB" w:rsidRDefault="009D0EAB">
      <w:pPr>
        <w:spacing w:after="0" w:line="240" w:lineRule="auto"/>
      </w:pPr>
      <w:r>
        <w:separator/>
      </w:r>
    </w:p>
  </w:footnote>
  <w:footnote w:type="continuationSeparator" w:id="0">
    <w:p w14:paraId="3C6D8A66" w14:textId="77777777" w:rsidR="009D0EAB" w:rsidRDefault="009D0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76E9" w14:textId="77777777" w:rsidR="00B11FCF" w:rsidRDefault="00B11FCF">
    <w:pPr>
      <w:spacing w:line="259" w:lineRule="auto"/>
      <w:ind w:right="1"/>
      <w:jc w:val="right"/>
    </w:pPr>
    <w:r>
      <w:rPr>
        <w:rFonts w:ascii="Calibri" w:eastAsia="Calibri" w:hAnsi="Calibri" w:cs="Calibri"/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D5A6309" wp14:editId="5F95FA14">
              <wp:simplePos x="0" y="0"/>
              <wp:positionH relativeFrom="page">
                <wp:posOffset>540004</wp:posOffset>
              </wp:positionH>
              <wp:positionV relativeFrom="page">
                <wp:posOffset>502082</wp:posOffset>
              </wp:positionV>
              <wp:extent cx="6479997" cy="6350"/>
              <wp:effectExtent l="0" t="0" r="0" b="0"/>
              <wp:wrapSquare wrapText="bothSides"/>
              <wp:docPr id="83382" name="Group 83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997" cy="6350"/>
                        <a:chOff x="0" y="0"/>
                        <a:chExt cx="6479997" cy="6350"/>
                      </a:xfrm>
                    </wpg:grpSpPr>
                    <wps:wsp>
                      <wps:cNvPr id="83383" name="Shape 83383"/>
                      <wps:cNvSpPr/>
                      <wps:spPr>
                        <a:xfrm>
                          <a:off x="0" y="0"/>
                          <a:ext cx="647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79997">
                              <a:moveTo>
                                <a:pt x="64799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8F7B049" id="Group 83382" o:spid="_x0000_s1026" style="position:absolute;margin-left:42.5pt;margin-top:39.55pt;width:510.25pt;height:.5pt;z-index:251659264;mso-position-horizontal-relative:page;mso-position-vertical-relative:page" coordsize="647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">
              <v:shape id="Shape 83383" o:spid="_x0000_s1027" style="position:absolute;width:64799;height:0;visibility:visible;mso-wrap-style:square;v-text-anchor:top" coordsize="64799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" path="m6479997,l,e" filled="f" strokeweight=".5pt">
                <v:stroke miterlimit="83231f" joinstyle="miter"/>
                <v:path arrowok="t" textboxrect="0,0,6479997,0"/>
              </v:shape>
              <w10:wrap type="square" anchorx="page" anchory="page"/>
            </v:group>
          </w:pict>
        </mc:Fallback>
      </mc:AlternateContent>
    </w:r>
    <w:r>
      <w:rPr>
        <w:rFonts w:ascii="Verdana" w:eastAsia="Verdana" w:hAnsi="Verdana" w:cs="Verdana"/>
        <w:b/>
        <w:color w:val="4682B4"/>
        <w:sz w:val="18"/>
      </w:rPr>
      <w:t>Katalog propisa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B8BF" w14:textId="77777777" w:rsidR="00B11FCF" w:rsidRDefault="00B11FCF" w:rsidP="00AE05A4">
    <w:pPr>
      <w:spacing w:after="296" w:line="259" w:lineRule="auto"/>
      <w:ind w:right="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6D7D0" w14:textId="77777777" w:rsidR="00B11FCF" w:rsidRDefault="00B11FCF" w:rsidP="0000362B">
    <w:pPr>
      <w:spacing w:line="259" w:lineRule="auto"/>
      <w:ind w:right="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0AD"/>
    <w:rsid w:val="000E1746"/>
    <w:rsid w:val="0050048E"/>
    <w:rsid w:val="0057651E"/>
    <w:rsid w:val="005B1566"/>
    <w:rsid w:val="00660BD7"/>
    <w:rsid w:val="007F3AE7"/>
    <w:rsid w:val="009D0EAB"/>
    <w:rsid w:val="00B11FCF"/>
    <w:rsid w:val="00B900AD"/>
    <w:rsid w:val="00C70E74"/>
    <w:rsid w:val="00D73439"/>
    <w:rsid w:val="00E1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F3B3B"/>
  <w15:chartTrackingRefBased/>
  <w15:docId w15:val="{C0FCFFEA-2844-4A40-A2AF-6CDF4639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FCF"/>
  </w:style>
  <w:style w:type="paragraph" w:styleId="Heading1">
    <w:name w:val="heading 1"/>
    <w:basedOn w:val="Normal"/>
    <w:next w:val="Normal"/>
    <w:link w:val="Heading1Char"/>
    <w:uiPriority w:val="9"/>
    <w:qFormat/>
    <w:rsid w:val="00B90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00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0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00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00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00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00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00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0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0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00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00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00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00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00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00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00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00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0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00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0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00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00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00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00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0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0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00AD"/>
    <w:rPr>
      <w:b/>
      <w:bCs/>
      <w:smallCaps/>
      <w:color w:val="2F5496" w:themeColor="accent1" w:themeShade="BF"/>
      <w:spacing w:val="5"/>
    </w:rPr>
  </w:style>
  <w:style w:type="paragraph" w:customStyle="1" w:styleId="N02Y">
    <w:name w:val="N02Y"/>
    <w:basedOn w:val="Normal"/>
    <w:uiPriority w:val="99"/>
    <w:rsid w:val="00B11FCF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sz w:val="22"/>
      <w:szCs w:val="22"/>
      <w14:ligatures w14:val="none"/>
    </w:rPr>
  </w:style>
  <w:style w:type="paragraph" w:customStyle="1" w:styleId="C30X">
    <w:name w:val="C30X"/>
    <w:basedOn w:val="Normal"/>
    <w:uiPriority w:val="99"/>
    <w:rsid w:val="00B11FCF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14:ligatures w14:val="none"/>
    </w:rPr>
  </w:style>
  <w:style w:type="paragraph" w:customStyle="1" w:styleId="T30X">
    <w:name w:val="T30X"/>
    <w:basedOn w:val="Normal"/>
    <w:uiPriority w:val="99"/>
    <w:rsid w:val="00B11FCF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2041</Words>
  <Characters>11636</Characters>
  <Application>Microsoft Office Word</Application>
  <DocSecurity>0</DocSecurity>
  <Lines>96</Lines>
  <Paragraphs>27</Paragraphs>
  <ScaleCrop>false</ScaleCrop>
  <Company/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6</cp:revision>
  <dcterms:created xsi:type="dcterms:W3CDTF">2025-12-22T08:54:00Z</dcterms:created>
  <dcterms:modified xsi:type="dcterms:W3CDTF">2026-03-26T09:38:00Z</dcterms:modified>
</cp:coreProperties>
</file>